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Think of a number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and follow these steps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1047433</wp:posOffset>
                </wp:positionH>
                <wp:positionV relativeFrom="paragraph">
                  <wp:posOffset>295275</wp:posOffset>
                </wp:positionV>
                <wp:extent cx="3591242" cy="2247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08100" y="757275"/>
                          <a:ext cx="2721000" cy="17310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99999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1047433</wp:posOffset>
                </wp:positionH>
                <wp:positionV relativeFrom="paragraph">
                  <wp:posOffset>295275</wp:posOffset>
                </wp:positionV>
                <wp:extent cx="3591242" cy="2247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1242" cy="2247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341850" cy="2028825"/>
            <wp:effectExtent b="25400" l="25400" r="25400" t="254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34341" l="5712" r="12391" t="10100"/>
                    <a:stretch>
                      <a:fillRect/>
                    </a:stretch>
                  </pic:blipFill>
                  <pic:spPr>
                    <a:xfrm>
                      <a:off x="0" y="0"/>
                      <a:ext cx="3341850" cy="2028825"/>
                    </a:xfrm>
                    <a:prstGeom prst="rect"/>
                    <a:ln w="254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Now 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ry again sta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rting with a different number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Try again.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Try starting with a fraction... or decimal... or negative number...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are your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answers ALWAYS the same?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design instructions for similar "Think of a number" machines of your own?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Test them on a partner to check that they lead to your anticipated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http://nrich.maths.org/2289</w: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3" name="Shape 13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Your Number Is…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8" name="Shape 8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CXZ50uUfmJI1EYwNNLYJ/7t6Yw==">AMUW2mXypPKhXr24l0D0iLMR98t0eSjj+qjejDW1KwDu0X3XMeFRAP9aF3bCS0wpA1C2Yzbuo3HNCrsg/yJlgdScaS6dxCexdY4eCdAV8rPvburKiH/YSE8=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2015-06-22T10:56:00Z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